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5.png" ContentType="image/png"/>
  <Override PartName="/word/media/rId202.png" ContentType="image/png"/>
  <Override PartName="/word/media/rId203.png" ContentType="image/png"/>
  <Override PartName="/word/media/rId204.png" ContentType="image/png"/>
  <Override PartName="/word/media/rId207.png" ContentType="image/png"/>
  <Override PartName="/word/media/rId206.png" ContentType="image/png"/>
  <Override PartName="/word/media/rId20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27,</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rPr>
          <w:rStyle w:val="SectionNumber"/>
        </w:rPr>
        <w:t xml:space="preserve">1</w:t>
      </w:r>
      <w:r>
        <w:tab/>
      </w: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rPr>
          <w:rStyle w:val="SectionNumber"/>
        </w:rPr>
        <w:t xml:space="preserve">2</w:t>
      </w:r>
      <w:r>
        <w:tab/>
      </w: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9.1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9.1</w:t>
      </w:r>
      <w:r>
        <w:rPr>
          <w:b/>
        </w:rPr>
        <w:t xml:space="preserve"> </w:t>
      </w:r>
      <w:r>
        <w:rPr>
          <w:b/>
        </w:rPr>
        <w:t xml:space="preserve">ABOUT HERE]</w:t>
      </w:r>
    </w:p>
    <w:bookmarkEnd w:id="21"/>
    <w:bookmarkStart w:id="26" w:name="X698142fa703b5c3368f49525406250d89bc1a65"/>
    <w:p>
      <w:pPr>
        <w:pStyle w:val="Heading1"/>
      </w:pPr>
      <w:r>
        <w:rPr>
          <w:rStyle w:val="SectionNumber"/>
        </w:rPr>
        <w:t xml:space="preserve">3</w:t>
      </w:r>
      <w:r>
        <w:tab/>
      </w:r>
      <w:r>
        <w:t xml:space="preserve">Understanding Influences on Migration Patterns</w:t>
      </w:r>
    </w:p>
    <w:bookmarkStart w:id="22" w:name="conventional-explanations"/>
    <w:p>
      <w:pPr>
        <w:pStyle w:val="Heading2"/>
      </w:pPr>
      <w:r>
        <w:rPr>
          <w:rStyle w:val="SectionNumber"/>
        </w:rPr>
        <w:t xml:space="preserve">3.1</w:t>
      </w:r>
      <w:r>
        <w:tab/>
      </w: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rPr>
          <w:rStyle w:val="SectionNumber"/>
        </w:rPr>
        <w:t xml:space="preserve">3.2</w:t>
      </w:r>
      <w:r>
        <w:tab/>
      </w: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rPr>
          <w:rStyle w:val="SectionNumber"/>
        </w:rPr>
        <w:t xml:space="preserve">3.3</w:t>
      </w:r>
      <w:r>
        <w:tab/>
      </w: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rPr>
          <w:rStyle w:val="SectionNumber"/>
        </w:rPr>
        <w:t xml:space="preserve">3.4</w:t>
      </w:r>
      <w:r>
        <w:tab/>
      </w: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2" w:name="data-and-methods"/>
    <w:p>
      <w:pPr>
        <w:pStyle w:val="Heading1"/>
      </w:pPr>
      <w:r>
        <w:rPr>
          <w:rStyle w:val="SectionNumber"/>
        </w:rPr>
        <w:t xml:space="preserve">4</w:t>
      </w:r>
      <w:r>
        <w:tab/>
      </w:r>
      <w:r>
        <w:t xml:space="preserve">Data and Methods</w:t>
      </w:r>
    </w:p>
    <w:bookmarkStart w:id="28" w:name="identifying-same-sex-couples-in-the-acs"/>
    <w:p>
      <w:pPr>
        <w:pStyle w:val="Heading2"/>
      </w:pPr>
      <w:r>
        <w:rPr>
          <w:rStyle w:val="SectionNumber"/>
        </w:rPr>
        <w:t xml:space="preserve">4.1</w:t>
      </w:r>
      <w:r>
        <w:tab/>
      </w: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Online Appendix,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rPr>
          <w:rStyle w:val="SectionNumber"/>
        </w:rPr>
        <w:t xml:space="preserve">4.2</w:t>
      </w:r>
      <w:r>
        <w:tab/>
      </w: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0" w:name="analytic-strategy"/>
    <w:p>
      <w:pPr>
        <w:pStyle w:val="Heading2"/>
      </w:pPr>
      <w:r>
        <w:rPr>
          <w:rStyle w:val="SectionNumber"/>
        </w:rPr>
        <w:t xml:space="preserve">4.3</w:t>
      </w:r>
      <w:r>
        <w:tab/>
      </w:r>
      <w:r>
        <w:t xml:space="preserve">Analytic Strategy</w:t>
      </w:r>
    </w:p>
    <w:p>
      <w:pPr>
        <w:pStyle w:val="FirstParagraph"/>
      </w:pPr>
      <w:r>
        <w:t xml:space="preserve">Many of our analyses rely on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year</w:t>
      </w:r>
      <w:r>
        <w:t xml:space="preserve"> </w:t>
      </w:r>
      <m:oMath>
        <m:r>
          <m:t>z</m:t>
        </m:r>
      </m:oMath>
      <w:r>
        <w:t xml:space="preserve">, then multiply by 100. This results in 37,980 country-state-years. As in the previous set of models, this reshaping acts to control for aspects of migrant settlement common to immigrants from the same country. We regress the state-country-survey year proportion on state and sending-country policy scores and adjust for state and origin-country controls. State-level measures are linked to survey year, while origin-country LGB policy and controls are linked to the mean year of immigration for each immigrant group. We include state and country-of-origin fixed effects, and we cluster errors at the state and country levels.</w:t>
      </w:r>
    </w:p>
    <w:bookmarkEnd w:id="30"/>
    <w:bookmarkStart w:id="31" w:name="control-variables"/>
    <w:p>
      <w:pPr>
        <w:pStyle w:val="Heading2"/>
      </w:pPr>
      <w:r>
        <w:rPr>
          <w:rStyle w:val="SectionNumber"/>
        </w:rPr>
        <w:t xml:space="preserve">4.4</w:t>
      </w:r>
      <w:r>
        <w:tab/>
      </w: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thousands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Online Appendix.</w:t>
      </w:r>
    </w:p>
    <w:bookmarkEnd w:id="31"/>
    <w:bookmarkEnd w:id="32"/>
    <w:bookmarkStart w:id="37" w:name="results"/>
    <w:p>
      <w:pPr>
        <w:pStyle w:val="Heading1"/>
      </w:pPr>
      <w:r>
        <w:rPr>
          <w:rStyle w:val="SectionNumber"/>
        </w:rPr>
        <w:t xml:space="preserve">5</w:t>
      </w:r>
      <w:r>
        <w:tab/>
      </w:r>
      <w:r>
        <w:t xml:space="preserve">Results</w:t>
      </w:r>
    </w:p>
    <w:bookmarkStart w:id="33" w:name="descriptive-trends"/>
    <w:p>
      <w:pPr>
        <w:pStyle w:val="Heading2"/>
      </w:pPr>
      <w:r>
        <w:rPr>
          <w:rStyle w:val="SectionNumber"/>
        </w:rPr>
        <w:t xml:space="preserve">5.1</w:t>
      </w:r>
      <w:r>
        <w:tab/>
      </w:r>
      <w:r>
        <w:t xml:space="preserve">Descriptive Trends</w:t>
      </w:r>
    </w:p>
    <w:p>
      <w:pPr>
        <w:pStyle w:val="FirstParagraph"/>
      </w:pPr>
      <w:r>
        <w:t xml:space="preserve">We first estimate total numbers of immigrants in same- and different-sex couples, applying survey weights to obtain population-level estimates from the ACS. Recall, Figure</w:t>
      </w:r>
      <w:r>
        <w:t xml:space="preserve"> </w:t>
      </w:r>
      <w:r>
        <w:t xml:space="preserve">9.1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9.2</w:t>
      </w:r>
      <w:r>
        <w:rPr>
          <w:b/>
        </w:rPr>
        <w:t xml:space="preserve"> </w:t>
      </w:r>
      <w:r>
        <w:rPr>
          <w:b/>
        </w:rPr>
        <w:t xml:space="preserve">ABOUT HERE]</w:t>
      </w:r>
    </w:p>
    <w:p>
      <w:pPr>
        <w:pStyle w:val="BodyText"/>
      </w:pPr>
      <w:r>
        <w:rPr>
          <w:b/>
        </w:rPr>
        <w:t xml:space="preserve">[FIGURE</w:t>
      </w:r>
      <w:r>
        <w:rPr>
          <w:b/>
        </w:rPr>
        <w:t xml:space="preserve"> </w:t>
      </w:r>
      <w:r>
        <w:rPr>
          <w:b/>
        </w:rPr>
        <w:t xml:space="preserve">9.3</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9.2</w:t>
      </w:r>
      <w:r>
        <w:t xml:space="preserve"> </w:t>
      </w:r>
      <w:r>
        <w:t xml:space="preserve">compares immigrants in same- and different-sex couples on five origin country-level variables. First, macroeconomic theory predicts that difference in wages and living standards across countries is one of the most important motivations for migration. Panel A in Figure</w:t>
      </w:r>
      <w:r>
        <w:t xml:space="preserve"> </w:t>
      </w:r>
      <w:r>
        <w:t xml:space="preserve">9.2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w:t>
      </w:r>
      <w:r>
        <w:t xml:space="preserve"> </w:t>
      </w:r>
      <w:r>
        <w:t xml:space="preserve">9.2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9.2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Immigrants in same-sex couples appear to come from more advantaged countries, but are they more advantaged on an individual level as well? Previous studies on LGB immigrants show those coming from wealthy, democratic countries may still be fleeing oppression. Figure</w:t>
      </w:r>
      <w:r>
        <w:t xml:space="preserve"> </w:t>
      </w:r>
      <w:r>
        <w:t xml:space="preserve">9.3</w:t>
      </w:r>
      <w:r>
        <w:t xml:space="preserve"> </w:t>
      </w:r>
      <w:r>
        <w:t xml:space="preserve">present results from four individual attributes. Panels A and B show that immigrants in same-sex couples tend to</w:t>
      </w:r>
      <w:r>
        <w:t xml:space="preserve"> </w:t>
      </w:r>
      <w:r>
        <w:rPr>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9.2</w:t>
      </w:r>
      <w:r>
        <w:t xml:space="preserve"> </w:t>
      </w:r>
      <w:r>
        <w:t xml:space="preserve">implies that there is between-country selection of immigrants in same-sex couples, but Figure</w:t>
      </w:r>
      <w:r>
        <w:t xml:space="preserve"> </w:t>
      </w:r>
      <w:r>
        <w:t xml:space="preserve">9.3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9.3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couuntry, as well.</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9.1</w:t>
      </w:r>
      <w:r>
        <w:t xml:space="preserve">. Turning to LGB policy may better explain this surge. Figure</w:t>
      </w:r>
      <w:r>
        <w:t xml:space="preserve"> </w:t>
      </w:r>
      <w:r>
        <w:t xml:space="preserve">9.4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9.4</w:t>
      </w:r>
      <w:r>
        <w:rPr>
          <w:b/>
        </w:rPr>
        <w:t xml:space="preserve"> </w:t>
      </w:r>
      <w:r>
        <w:rPr>
          <w:b/>
        </w:rPr>
        <w:t xml:space="preserve">ABOUT HERE]</w:t>
      </w:r>
    </w:p>
    <w:p>
      <w:pPr>
        <w:pStyle w:val="BodyText"/>
      </w:pPr>
      <w:r>
        <w:t xml:space="preserve">Figure</w:t>
      </w:r>
      <w:r>
        <w:t xml:space="preserve"> </w:t>
      </w:r>
      <w:r>
        <w:t xml:space="preserve">9.5</w:t>
      </w:r>
      <w:r>
        <w:t xml:space="preserve"> </w:t>
      </w:r>
      <w:r>
        <w:t xml:space="preserve">shows the percentage of immigrants to the U.S. in same-sex couples from each country of origin, averaging over the 29 possible years of immigration, and Table</w:t>
      </w:r>
      <w:r>
        <w:t xml:space="preserve"> </w:t>
      </w:r>
      <w:r>
        <w:t xml:space="preserve">8.1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in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9.6</w:t>
      </w:r>
      <w:r>
        <w:t xml:space="preserve"> </w:t>
      </w:r>
      <w:r>
        <w:t xml:space="preserve">presents the percentage of immigrants in same-sex couples in U.S. states, averaging over the survey years and possible countries of origin, and Table</w:t>
      </w:r>
      <w:r>
        <w:t xml:space="preserve"> </w:t>
      </w:r>
      <w:r>
        <w:t xml:space="preserve">8.2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[FIGURE</w:t>
      </w:r>
      <w:r>
        <w:rPr>
          <w:b/>
        </w:rPr>
        <w:t xml:space="preserve"> </w:t>
      </w:r>
      <w:r>
        <w:rPr>
          <w:b/>
        </w:rPr>
        <w:t xml:space="preserve">9.5</w:t>
      </w:r>
      <w:r>
        <w:rPr>
          <w:b/>
        </w:rPr>
        <w:t xml:space="preserve"> </w:t>
      </w:r>
      <w:r>
        <w:rPr>
          <w:b/>
        </w:rPr>
        <w:t xml:space="preserve">ABOUT HERE]</w:t>
      </w:r>
    </w:p>
    <w:p>
      <w:pPr>
        <w:pStyle w:val="BodyText"/>
      </w:pPr>
      <w:r>
        <w:rPr>
          <w:b/>
        </w:rPr>
        <w:t xml:space="preserve">[FIGURE</w:t>
      </w:r>
      <w:r>
        <w:rPr>
          <w:b/>
        </w:rPr>
        <w:t xml:space="preserve"> </w:t>
      </w:r>
      <w:r>
        <w:rPr>
          <w:b/>
        </w:rPr>
        <w:t xml:space="preserve">9.6</w:t>
      </w:r>
      <w:r>
        <w:rPr>
          <w:b/>
        </w:rPr>
        <w:t xml:space="preserve"> </w:t>
      </w:r>
      <w:r>
        <w:rPr>
          <w:b/>
        </w:rPr>
        <w:t xml:space="preserve">ABOUT HERE]</w:t>
      </w:r>
    </w:p>
    <w:p>
      <w:pPr>
        <w:pStyle w:val="BodyText"/>
      </w:pPr>
      <w:r>
        <w:rPr>
          <w:b/>
        </w:rPr>
        <w:t xml:space="preserve">[TABLE</w:t>
      </w:r>
      <w:r>
        <w:rPr>
          <w:b/>
        </w:rPr>
        <w:t xml:space="preserve"> </w:t>
      </w:r>
      <w:r>
        <w:rPr>
          <w:b/>
        </w:rPr>
        <w:t xml:space="preserve">8.1</w:t>
      </w:r>
      <w:r>
        <w:rPr>
          <w:b/>
        </w:rPr>
        <w:t xml:space="preserve"> </w:t>
      </w:r>
      <w:r>
        <w:rPr>
          <w:b/>
        </w:rPr>
        <w:t xml:space="preserve">ABOUT HERE]</w:t>
      </w:r>
    </w:p>
    <w:p>
      <w:pPr>
        <w:pStyle w:val="BodyText"/>
      </w:pPr>
      <w:r>
        <w:rPr>
          <w:b/>
        </w:rPr>
        <w:t xml:space="preserve">[TABLE</w:t>
      </w:r>
      <w:r>
        <w:rPr>
          <w:b/>
        </w:rPr>
        <w:t xml:space="preserve"> </w:t>
      </w:r>
      <w:r>
        <w:rPr>
          <w:b/>
        </w:rPr>
        <w:t xml:space="preserve">8.2</w:t>
      </w:r>
      <w:r>
        <w:rPr>
          <w:b/>
        </w:rPr>
        <w:t xml:space="preserve"> </w:t>
      </w:r>
      <w:r>
        <w:rPr>
          <w:b/>
        </w:rPr>
        <w:t xml:space="preserve">ABOUT HERE]</w:t>
      </w:r>
    </w:p>
    <w:bookmarkEnd w:id="33"/>
    <w:bookmarkStart w:id="34" w:name="model-results"/>
    <w:p>
      <w:pPr>
        <w:pStyle w:val="Heading2"/>
      </w:pPr>
      <w:r>
        <w:rPr>
          <w:rStyle w:val="SectionNumber"/>
        </w:rPr>
        <w:t xml:space="preserve">5.2</w:t>
      </w:r>
      <w:r>
        <w:tab/>
      </w:r>
      <w:r>
        <w:t xml:space="preserve">Model Results</w:t>
      </w:r>
    </w:p>
    <w:p>
      <w:pPr>
        <w:pStyle w:val="FirstParagraph"/>
      </w:pPr>
      <w:r>
        <w:t xml:space="preserve">We next turn to the effects of U.S. state LGB policy. Table</w:t>
      </w:r>
      <w:r>
        <w:t xml:space="preserve"> </w:t>
      </w:r>
      <w:r>
        <w:t xml:space="preserve">8.3</w:t>
      </w:r>
      <w:r>
        <w:t xml:space="preserve"> </w:t>
      </w:r>
      <w:r>
        <w:t xml:space="preserve">presents models of the U.S. state-level proportion of immigrants in same-sex couples, from a given country of origin in a given survey year. Model 1 contains only one predictor: U.S. state policy score in the survey year. We see that, on average, states with more friendly LGB policies have somewhat higher proportions of immigrants in same-sex couples. Model 2 adds a predictor for country-of-origin policy score at the mean year of immigration. Although the coefficient for country of origin score is more precisely estimated, the two variables have effects of roughly equal size. A one-standard deviation (2.1-point) increase origin score is associated with a 0.18 percentage-point increase of immigrants in same-sex couples, whereas the corresponding state policy standard deviation increase of 2.4 points is 0.12 percentage points.</w:t>
      </w:r>
    </w:p>
    <w:p>
      <w:pPr>
        <w:pStyle w:val="BodyText"/>
      </w:pPr>
      <w:r>
        <w:rPr>
          <w:b/>
        </w:rPr>
        <w:t xml:space="preserve">[TABLE</w:t>
      </w:r>
      <w:r>
        <w:rPr>
          <w:b/>
        </w:rPr>
        <w:t xml:space="preserve"> </w:t>
      </w:r>
      <w:r>
        <w:rPr>
          <w:b/>
        </w:rPr>
        <w:t xml:space="preserve">8.3</w:t>
      </w:r>
      <w:r>
        <w:rPr>
          <w:b/>
        </w:rPr>
        <w:t xml:space="preserve"> </w:t>
      </w:r>
      <w:r>
        <w:rPr>
          <w:b/>
        </w:rPr>
        <w:t xml:space="preserve">ABOUT HERE]</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3 adds state and origin-country controls and fixed effects. Surprisingly,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4 adds an interaction between state and country LGB scores. It is positive and significant, and the coefficient for state score retains its value while that for country score becomes insignificant. Progressive states attract higher proportions of same-sex immigrant couples, and this effect is stronger for immigrants from more progressive countries.</w:t>
      </w:r>
    </w:p>
    <w:p>
      <w:pPr>
        <w:pStyle w:val="BodyText"/>
      </w:pPr>
      <w:r>
        <w:t xml:space="preserve">Finally, Model 5 includes a dichotomous variable for the post-2013 DOMA decision era, and Models 6 and 7 interact this with state and sending-country scores, respectively. The significant post-2013 variable in Model 5 implies that proportions LGB have increased across the country in the past few years. Coefficients for state policy, including in its interaction with the post-2013 dichotomous variable,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w:t>
      </w:r>
    </w:p>
    <w:bookmarkEnd w:id="34"/>
    <w:bookmarkStart w:id="36" w:name="robustness-checks"/>
    <w:p>
      <w:pPr>
        <w:pStyle w:val="Heading2"/>
      </w:pPr>
      <w:r>
        <w:rPr>
          <w:rStyle w:val="SectionNumber"/>
        </w:rPr>
        <w:t xml:space="preserve">5.3</w:t>
      </w:r>
      <w:r>
        <w:tab/>
      </w:r>
      <w:r>
        <w:t xml:space="preserve">Robustness Checks</w:t>
      </w:r>
    </w:p>
    <w:p>
      <w:pPr>
        <w:pStyle w:val="FirstParagraph"/>
      </w:pPr>
      <w:r>
        <w:t xml:space="preserve">Our results hold up to a variety of robustness checks presented in Section C of the Online Appendix;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5"/>
      </w:r>
    </w:p>
    <w:p>
      <w:pPr>
        <w:pStyle w:val="BodyText"/>
      </w:pPr>
      <w:r>
        <w:rPr>
          <w:b/>
        </w:rPr>
        <w:t xml:space="preserve">[FIGURE</w:t>
      </w:r>
      <w:r>
        <w:rPr>
          <w:b/>
        </w:rPr>
        <w:t xml:space="preserve"> </w:t>
      </w:r>
      <w:r>
        <w:rPr>
          <w:b/>
        </w:rPr>
        <w:t xml:space="preserve">9.7</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9.7</w:t>
      </w:r>
      <w:r>
        <w:t xml:space="preserve"> </w:t>
      </w:r>
      <w:r>
        <w:t xml:space="preserve">takes Model 5 from the country proportions models (Table</w:t>
      </w:r>
      <w:r>
        <w:t xml:space="preserve"> </w:t>
      </w:r>
      <w:r>
        <w:t xml:space="preserve">??</w:t>
      </w:r>
      <w:r>
        <w:t xml:space="preserve">) and Model 4 from the state proportions models (Table</w:t>
      </w:r>
      <w:r>
        <w:t xml:space="preserve"> </w:t>
      </w:r>
      <w:r>
        <w:t xml:space="preserve">8.3</w:t>
      </w:r>
      <w:r>
        <w:t xml:space="preserve">)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Online Appendix, we present the coefficients of interest for all of the models in Tables</w:t>
      </w:r>
      <w:r>
        <w:t xml:space="preserve"> </w:t>
      </w:r>
      <w:r>
        <w:t xml:space="preserve">??</w:t>
      </w:r>
      <w:r>
        <w:t xml:space="preserve"> </w:t>
      </w:r>
      <w:r>
        <w:t xml:space="preserve">and</w:t>
      </w:r>
      <w:r>
        <w:t xml:space="preserve"> </w:t>
      </w:r>
      <w:r>
        <w:t xml:space="preserve">8.3</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8.3</w:t>
      </w:r>
      <w:r>
        <w:t xml:space="preserve"> </w:t>
      </w:r>
      <w:r>
        <w:t xml:space="preserve">are driven by smaller, progressive countries that send relatively few immigrants. Hence in the Online Appendix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8.3</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6"/>
    <w:bookmarkEnd w:id="37"/>
    <w:bookmarkStart w:id="38" w:name="discussion-and-conclusion"/>
    <w:p>
      <w:pPr>
        <w:pStyle w:val="Heading1"/>
      </w:pPr>
      <w:r>
        <w:rPr>
          <w:rStyle w:val="SectionNumber"/>
        </w:rPr>
        <w:t xml:space="preserve">6</w:t>
      </w:r>
      <w:r>
        <w:tab/>
      </w: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w:t>
      </w:r>
      <w:r>
        <w:t xml:space="preserve"> </w:t>
      </w:r>
      <w:r>
        <w:t xml:space="preserve">and trendlines in Figure</w:t>
      </w:r>
      <w:r>
        <w:t xml:space="preserve"> </w:t>
      </w:r>
      <w:r>
        <w:t xml:space="preserve">9.4</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8.1</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8"/>
    <w:bookmarkStart w:id="199" w:name="references"/>
    <w:p>
      <w:pPr>
        <w:pStyle w:val="Heading1"/>
      </w:pPr>
      <w:r>
        <w:rPr>
          <w:rStyle w:val="SectionNumber"/>
        </w:rPr>
        <w:t xml:space="preserve">7</w:t>
      </w:r>
      <w:r>
        <w:tab/>
      </w:r>
      <w:r>
        <w:t xml:space="preserve">References</w:t>
      </w:r>
    </w:p>
    <w:p>
      <w:pPr>
        <w:pStyle w:val="FirstParagraph"/>
      </w:pPr>
    </w:p>
    <w:bookmarkStart w:id="198" w:name="refs"/>
    <w:bookmarkStart w:id="39"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39"/>
    <w:bookmarkStart w:id="40"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0"/>
    <w:bookmarkStart w:id="41"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1"/>
    <w:bookmarkStart w:id="43"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2">
        <w:r>
          <w:rPr>
            <w:rStyle w:val="Hyperlink"/>
          </w:rPr>
          <w:t xml:space="preserve">https://doi.org/10.1080/1369183X.2018.1497955</w:t>
        </w:r>
      </w:hyperlink>
    </w:p>
    <w:bookmarkEnd w:id="43"/>
    <w:bookmarkStart w:id="44"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4"/>
    <w:bookmarkStart w:id="46"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5">
        <w:r>
          <w:rPr>
            <w:rStyle w:val="Hyperlink"/>
          </w:rPr>
          <w:t xml:space="preserve">https://doi.org/10.1257/jep.35.2.141</w:t>
        </w:r>
      </w:hyperlink>
    </w:p>
    <w:bookmarkEnd w:id="46"/>
    <w:bookmarkStart w:id="48"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47">
        <w:r>
          <w:rPr>
            <w:rStyle w:val="Hyperlink"/>
          </w:rPr>
          <w:t xml:space="preserve">https://doi.org/10.1177/0192513X12464872</w:t>
        </w:r>
      </w:hyperlink>
    </w:p>
    <w:bookmarkEnd w:id="48"/>
    <w:bookmarkStart w:id="50"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49">
        <w:r>
          <w:rPr>
            <w:rStyle w:val="Hyperlink"/>
          </w:rPr>
          <w:t xml:space="preserve">https://doi.org/10.1007/978-94-007-5512-3</w:t>
        </w:r>
      </w:hyperlink>
    </w:p>
    <w:bookmarkEnd w:id="50"/>
    <w:bookmarkStart w:id="51"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1"/>
    <w:bookmarkStart w:id="53"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2">
        <w:r>
          <w:rPr>
            <w:rStyle w:val="Hyperlink"/>
          </w:rPr>
          <w:t xml:space="preserve">https://doi.org/10.1007/978-3-030-10910-3_11</w:t>
        </w:r>
      </w:hyperlink>
    </w:p>
    <w:bookmarkEnd w:id="53"/>
    <w:bookmarkStart w:id="54"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4"/>
    <w:bookmarkStart w:id="56"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5">
        <w:r>
          <w:rPr>
            <w:rStyle w:val="Hyperlink"/>
          </w:rPr>
          <w:t xml:space="preserve">https://doi.org/10.1080/00036846.2016.1251565</w:t>
        </w:r>
      </w:hyperlink>
    </w:p>
    <w:bookmarkEnd w:id="56"/>
    <w:bookmarkStart w:id="58"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57">
        <w:r>
          <w:rPr>
            <w:rStyle w:val="Hyperlink"/>
          </w:rPr>
          <w:t xml:space="preserve">https://doi.org/10.1007/978-3-030-43942-2_3</w:t>
        </w:r>
      </w:hyperlink>
    </w:p>
    <w:bookmarkEnd w:id="58"/>
    <w:bookmarkStart w:id="60"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59">
        <w:r>
          <w:rPr>
            <w:rStyle w:val="Hyperlink"/>
          </w:rPr>
          <w:t xml:space="preserve">https://doi.org/10.1093/migration/mnv015</w:t>
        </w:r>
      </w:hyperlink>
    </w:p>
    <w:bookmarkEnd w:id="60"/>
    <w:bookmarkStart w:id="62"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1">
        <w:r>
          <w:rPr>
            <w:rStyle w:val="Hyperlink"/>
          </w:rPr>
          <w:t xml:space="preserve">https://doi.org/10.1111/j.1467-954X.2009.01864.x</w:t>
        </w:r>
      </w:hyperlink>
    </w:p>
    <w:bookmarkEnd w:id="62"/>
    <w:bookmarkStart w:id="63"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3"/>
    <w:bookmarkStart w:id="64"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4"/>
    <w:bookmarkStart w:id="65"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5"/>
    <w:bookmarkStart w:id="66"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6"/>
    <w:bookmarkStart w:id="68"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67">
        <w:r>
          <w:rPr>
            <w:rStyle w:val="Hyperlink"/>
          </w:rPr>
          <w:t xml:space="preserve">https://doi.org/10.1080/01621459.1988.10478575</w:t>
        </w:r>
      </w:hyperlink>
    </w:p>
    <w:bookmarkEnd w:id="68"/>
    <w:bookmarkStart w:id="69"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69"/>
    <w:bookmarkStart w:id="71"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0">
        <w:r>
          <w:rPr>
            <w:rStyle w:val="Hyperlink"/>
          </w:rPr>
          <w:t xml:space="preserve">https://doi.org/10.1080/1369183X.2017.1384134</w:t>
        </w:r>
      </w:hyperlink>
    </w:p>
    <w:bookmarkEnd w:id="71"/>
    <w:bookmarkStart w:id="72"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2"/>
    <w:bookmarkStart w:id="73"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3"/>
    <w:bookmarkStart w:id="75"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4">
        <w:r>
          <w:rPr>
            <w:rStyle w:val="Hyperlink"/>
          </w:rPr>
          <w:t xml:space="preserve">https://doi.org/10.1111/j.1747-7379.2006.00042.x</w:t>
        </w:r>
      </w:hyperlink>
    </w:p>
    <w:bookmarkEnd w:id="75"/>
    <w:bookmarkStart w:id="77"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6">
        <w:r>
          <w:rPr>
            <w:rStyle w:val="Hyperlink"/>
          </w:rPr>
          <w:t xml:space="preserve">https://doi.org/10.1111/kykl.12206</w:t>
        </w:r>
      </w:hyperlink>
    </w:p>
    <w:bookmarkEnd w:id="77"/>
    <w:bookmarkStart w:id="79"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78">
        <w:r>
          <w:rPr>
            <w:rStyle w:val="Hyperlink"/>
          </w:rPr>
          <w:t xml:space="preserve">https://doi.org/10.2105/AJPH.2014.301974</w:t>
        </w:r>
      </w:hyperlink>
    </w:p>
    <w:bookmarkEnd w:id="79"/>
    <w:bookmarkStart w:id="80"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0"/>
    <w:bookmarkStart w:id="81"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1"/>
    <w:bookmarkStart w:id="83"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2">
        <w:r>
          <w:rPr>
            <w:rStyle w:val="Hyperlink"/>
          </w:rPr>
          <w:t xml:space="preserve">https://doi.org/10.1186/s40878-020-00210-4</w:t>
        </w:r>
      </w:hyperlink>
    </w:p>
    <w:bookmarkEnd w:id="83"/>
    <w:bookmarkStart w:id="85"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4">
        <w:r>
          <w:rPr>
            <w:rStyle w:val="Hyperlink"/>
          </w:rPr>
          <w:t xml:space="preserve">https://doi.org/10.1177/0011392119850231</w:t>
        </w:r>
      </w:hyperlink>
    </w:p>
    <w:bookmarkEnd w:id="85"/>
    <w:bookmarkStart w:id="86"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6"/>
    <w:bookmarkStart w:id="88"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87">
        <w:r>
          <w:rPr>
            <w:rStyle w:val="Hyperlink"/>
          </w:rPr>
          <w:t xml:space="preserve">https://doi.org/10.1257/aer.20130954</w:t>
        </w:r>
      </w:hyperlink>
    </w:p>
    <w:bookmarkEnd w:id="88"/>
    <w:bookmarkStart w:id="90"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89">
        <w:r>
          <w:rPr>
            <w:rStyle w:val="Hyperlink"/>
          </w:rPr>
          <w:t xml:space="preserve">https://doi.org/10.1146/annurev-soc-121919-054639</w:t>
        </w:r>
      </w:hyperlink>
    </w:p>
    <w:bookmarkEnd w:id="90"/>
    <w:bookmarkStart w:id="91"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1"/>
    <w:bookmarkStart w:id="93"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2">
        <w:r>
          <w:rPr>
            <w:rStyle w:val="Hyperlink"/>
          </w:rPr>
          <w:t xml:space="preserve">https://doi.org/10.1177/0197918320949825</w:t>
        </w:r>
      </w:hyperlink>
    </w:p>
    <w:bookmarkEnd w:id="93"/>
    <w:bookmarkStart w:id="95"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4">
        <w:r>
          <w:rPr>
            <w:rStyle w:val="Hyperlink"/>
          </w:rPr>
          <w:t xml:space="preserve">https://doi.org/10.1007/s13524-018-0684-5</w:t>
        </w:r>
      </w:hyperlink>
    </w:p>
    <w:bookmarkEnd w:id="95"/>
    <w:bookmarkStart w:id="97"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6">
        <w:r>
          <w:rPr>
            <w:rStyle w:val="Hyperlink"/>
          </w:rPr>
          <w:t xml:space="preserve">https://doi.org/10.1525/9780520942479</w:t>
        </w:r>
      </w:hyperlink>
    </w:p>
    <w:bookmarkEnd w:id="97"/>
    <w:bookmarkStart w:id="9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98">
        <w:r>
          <w:rPr>
            <w:rStyle w:val="Hyperlink"/>
          </w:rPr>
          <w:t xml:space="preserve">https://doi.org/10.1017/S0043887114000112</w:t>
        </w:r>
      </w:hyperlink>
    </w:p>
    <w:bookmarkEnd w:id="99"/>
    <w:bookmarkStart w:id="10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0">
        <w:r>
          <w:rPr>
            <w:rStyle w:val="Hyperlink"/>
          </w:rPr>
          <w:t xml:space="preserve">https://doi.org/10.1177/1065912915621175</w:t>
        </w:r>
      </w:hyperlink>
    </w:p>
    <w:bookmarkEnd w:id="101"/>
    <w:bookmarkStart w:id="103"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2">
        <w:r>
          <w:rPr>
            <w:rStyle w:val="Hyperlink"/>
          </w:rPr>
          <w:t xml:space="preserve">https://doi.org/10.1080/15562948.2017.1299269</w:t>
        </w:r>
      </w:hyperlink>
    </w:p>
    <w:bookmarkEnd w:id="103"/>
    <w:bookmarkStart w:id="104"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4"/>
    <w:bookmarkStart w:id="105"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5"/>
    <w:bookmarkStart w:id="106"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6"/>
    <w:bookmarkStart w:id="107"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07"/>
    <w:bookmarkStart w:id="108"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08"/>
    <w:bookmarkStart w:id="109"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09"/>
    <w:bookmarkStart w:id="110"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0"/>
    <w:bookmarkStart w:id="111"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1"/>
    <w:bookmarkStart w:id="113"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2">
        <w:r>
          <w:rPr>
            <w:rStyle w:val="Hyperlink"/>
          </w:rPr>
          <w:t xml:space="preserve">https://doi.org/10.1080/14649360902853262</w:t>
        </w:r>
      </w:hyperlink>
    </w:p>
    <w:bookmarkEnd w:id="113"/>
    <w:bookmarkStart w:id="114"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4"/>
    <w:bookmarkStart w:id="115"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5"/>
    <w:bookmarkStart w:id="117"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6">
        <w:r>
          <w:rPr>
            <w:rStyle w:val="Hyperlink"/>
          </w:rPr>
          <w:t xml:space="preserve">https://doi.org/10.7551/mitpress/3303.001.0001</w:t>
        </w:r>
      </w:hyperlink>
    </w:p>
    <w:bookmarkEnd w:id="117"/>
    <w:bookmarkStart w:id="118"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18"/>
    <w:bookmarkStart w:id="120"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19">
        <w:r>
          <w:rPr>
            <w:rStyle w:val="Hyperlink"/>
          </w:rPr>
          <w:t xml:space="preserve">https://doi.org/10.4324/9780203863299.ch15</w:t>
        </w:r>
      </w:hyperlink>
    </w:p>
    <w:bookmarkEnd w:id="120"/>
    <w:bookmarkStart w:id="121"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1"/>
    <w:bookmarkStart w:id="123"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2">
        <w:r>
          <w:rPr>
            <w:rStyle w:val="Hyperlink"/>
          </w:rPr>
          <w:t xml:space="preserve">https://doi.org/10.1146/annurev-soc-073014-112223</w:t>
        </w:r>
      </w:hyperlink>
    </w:p>
    <w:bookmarkEnd w:id="123"/>
    <w:bookmarkStart w:id="125"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4">
        <w:r>
          <w:rPr>
            <w:rStyle w:val="Hyperlink"/>
          </w:rPr>
          <w:t xml:space="preserve">https://doi.org/10.1007/s13524-017-0633-8</w:t>
        </w:r>
      </w:hyperlink>
    </w:p>
    <w:bookmarkEnd w:id="125"/>
    <w:bookmarkStart w:id="126"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6"/>
    <w:bookmarkStart w:id="127"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27"/>
    <w:bookmarkStart w:id="129"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28">
        <w:r>
          <w:rPr>
            <w:rStyle w:val="Hyperlink"/>
          </w:rPr>
          <w:t xml:space="preserve">https://doi.org/10.1080/000368400421093</w:t>
        </w:r>
      </w:hyperlink>
    </w:p>
    <w:bookmarkEnd w:id="129"/>
    <w:bookmarkStart w:id="130"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0"/>
    <w:bookmarkStart w:id="131"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1"/>
    <w:bookmarkStart w:id="133"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2">
        <w:r>
          <w:rPr>
            <w:rStyle w:val="Hyperlink"/>
          </w:rPr>
          <w:t xml:space="preserve">https://doi.org/10.1111/irel.12075</w:t>
        </w:r>
      </w:hyperlink>
    </w:p>
    <w:bookmarkEnd w:id="133"/>
    <w:bookmarkStart w:id="135"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4">
        <w:r>
          <w:rPr>
            <w:rStyle w:val="Hyperlink"/>
          </w:rPr>
          <w:t xml:space="preserve">https://doi.org/10.1080/1369183042000200687</w:t>
        </w:r>
      </w:hyperlink>
    </w:p>
    <w:bookmarkEnd w:id="135"/>
    <w:bookmarkStart w:id="136"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6"/>
    <w:bookmarkStart w:id="137"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37"/>
    <w:bookmarkStart w:id="138"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38"/>
    <w:bookmarkStart w:id="139"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39"/>
    <w:bookmarkStart w:id="141"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0">
        <w:r>
          <w:rPr>
            <w:rStyle w:val="Hyperlink"/>
          </w:rPr>
          <w:t xml:space="preserve">https://doi.org/10.1177/1363460714552251</w:t>
        </w:r>
      </w:hyperlink>
    </w:p>
    <w:bookmarkEnd w:id="141"/>
    <w:bookmarkStart w:id="143"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2">
        <w:r>
          <w:rPr>
            <w:rStyle w:val="Hyperlink"/>
          </w:rPr>
          <w:t xml:space="preserve">https://doi.org/10.1215/10642684-2007-029</w:t>
        </w:r>
      </w:hyperlink>
    </w:p>
    <w:bookmarkEnd w:id="143"/>
    <w:bookmarkStart w:id="145"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4">
        <w:r>
          <w:rPr>
            <w:rStyle w:val="Hyperlink"/>
          </w:rPr>
          <w:t xml:space="preserve">https://doi.org/10.1177/0197918318781837</w:t>
        </w:r>
      </w:hyperlink>
    </w:p>
    <w:bookmarkEnd w:id="145"/>
    <w:bookmarkStart w:id="147"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6">
        <w:r>
          <w:rPr>
            <w:rStyle w:val="Hyperlink"/>
          </w:rPr>
          <w:t xml:space="preserve">https://doi.org/10.1080/1369183X.2010.489373</w:t>
        </w:r>
      </w:hyperlink>
    </w:p>
    <w:bookmarkEnd w:id="147"/>
    <w:bookmarkStart w:id="149"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48">
        <w:r>
          <w:rPr>
            <w:rStyle w:val="Hyperlink"/>
          </w:rPr>
          <w:t xml:space="preserve">https://doi.org/10.1080/17450100903195318</w:t>
        </w:r>
      </w:hyperlink>
    </w:p>
    <w:bookmarkEnd w:id="149"/>
    <w:bookmarkStart w:id="150"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0"/>
    <w:bookmarkStart w:id="152"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1">
        <w:r>
          <w:rPr>
            <w:rStyle w:val="Hyperlink"/>
          </w:rPr>
          <w:t xml:space="preserve">https://doi.org/10.1007/s13524-016-0490-x</w:t>
        </w:r>
      </w:hyperlink>
    </w:p>
    <w:bookmarkEnd w:id="152"/>
    <w:bookmarkStart w:id="15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3">
        <w:r>
          <w:rPr>
            <w:rStyle w:val="Hyperlink"/>
          </w:rPr>
          <w:t xml:space="preserve">https://doi.org/10.1007/s12122-020-09305-4</w:t>
        </w:r>
      </w:hyperlink>
    </w:p>
    <w:bookmarkEnd w:id="154"/>
    <w:bookmarkStart w:id="15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5">
        <w:r>
          <w:rPr>
            <w:rStyle w:val="Hyperlink"/>
          </w:rPr>
          <w:t xml:space="preserve">https://doi.org/10.2307/3644186</w:t>
        </w:r>
      </w:hyperlink>
    </w:p>
    <w:bookmarkEnd w:id="156"/>
    <w:bookmarkStart w:id="157"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57"/>
    <w:bookmarkStart w:id="158"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58"/>
    <w:bookmarkStart w:id="159"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59"/>
    <w:bookmarkStart w:id="161"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0">
        <w:r>
          <w:rPr>
            <w:rStyle w:val="Hyperlink"/>
          </w:rPr>
          <w:t xml:space="preserve">https://doi.org/10.2139/ssrn.1994531</w:t>
        </w:r>
      </w:hyperlink>
    </w:p>
    <w:bookmarkEnd w:id="161"/>
    <w:bookmarkStart w:id="162"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2"/>
    <w:bookmarkStart w:id="163"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3"/>
    <w:bookmarkStart w:id="164"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4"/>
    <w:bookmarkStart w:id="165"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5"/>
    <w:bookmarkStart w:id="167"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6">
        <w:r>
          <w:rPr>
            <w:rStyle w:val="Hyperlink"/>
          </w:rPr>
          <w:t xml:space="preserve">https://doi.org/10.1086/320817</w:t>
        </w:r>
      </w:hyperlink>
    </w:p>
    <w:bookmarkEnd w:id="167"/>
    <w:bookmarkStart w:id="169"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68">
        <w:r>
          <w:rPr>
            <w:rStyle w:val="Hyperlink"/>
          </w:rPr>
          <w:t xml:space="preserve">https://doi.org/10.1080/13691058.2016.1184314</w:t>
        </w:r>
      </w:hyperlink>
    </w:p>
    <w:bookmarkEnd w:id="169"/>
    <w:bookmarkStart w:id="171"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0">
        <w:r>
          <w:rPr>
            <w:rStyle w:val="Hyperlink"/>
          </w:rPr>
          <w:t xml:space="preserve">https://doi.org/10.1146/annurev.soc.24.1.1</w:t>
        </w:r>
      </w:hyperlink>
    </w:p>
    <w:bookmarkEnd w:id="171"/>
    <w:bookmarkStart w:id="173"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2">
        <w:r>
          <w:rPr>
            <w:rStyle w:val="Hyperlink"/>
          </w:rPr>
          <w:t xml:space="preserve">https://doi.org/10.1111/sjoe.12092</w:t>
        </w:r>
      </w:hyperlink>
    </w:p>
    <w:bookmarkEnd w:id="173"/>
    <w:bookmarkStart w:id="175"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4">
        <w:r>
          <w:rPr>
            <w:rStyle w:val="Hyperlink"/>
          </w:rPr>
          <w:t xml:space="preserve">https://doi.org/10.1177/0002716216650629</w:t>
        </w:r>
      </w:hyperlink>
    </w:p>
    <w:bookmarkEnd w:id="175"/>
    <w:bookmarkStart w:id="177"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6">
        <w:r>
          <w:rPr>
            <w:rStyle w:val="Hyperlink"/>
          </w:rPr>
          <w:t xml:space="preserve">https://doi.org/10.1093/migration/mnab007</w:t>
        </w:r>
      </w:hyperlink>
    </w:p>
    <w:bookmarkEnd w:id="177"/>
    <w:bookmarkStart w:id="178"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78"/>
    <w:bookmarkStart w:id="180"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79">
        <w:r>
          <w:rPr>
            <w:rStyle w:val="Hyperlink"/>
          </w:rPr>
          <w:t xml:space="preserve">https://doi.org/10.1177/0197918319831952</w:t>
        </w:r>
      </w:hyperlink>
    </w:p>
    <w:bookmarkEnd w:id="180"/>
    <w:bookmarkStart w:id="182"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1">
        <w:r>
          <w:rPr>
            <w:rStyle w:val="Hyperlink"/>
          </w:rPr>
          <w:t xml:space="preserve">https://doi.org/10.4054/DemRes.2009.21.28</w:t>
        </w:r>
      </w:hyperlink>
    </w:p>
    <w:bookmarkEnd w:id="182"/>
    <w:bookmarkStart w:id="183"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3"/>
    <w:bookmarkStart w:id="184"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4"/>
    <w:bookmarkStart w:id="18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5"/>
    <w:bookmarkStart w:id="187"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6">
        <w:r>
          <w:rPr>
            <w:rStyle w:val="Hyperlink"/>
          </w:rPr>
          <w:t xml:space="preserve">https://doi.org/10.1080/1369183X.2019.1690980</w:t>
        </w:r>
      </w:hyperlink>
    </w:p>
    <w:bookmarkEnd w:id="187"/>
    <w:bookmarkStart w:id="188"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88"/>
    <w:bookmarkStart w:id="189"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89"/>
    <w:bookmarkStart w:id="190"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0"/>
    <w:bookmarkStart w:id="191"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1"/>
    <w:bookmarkStart w:id="193"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2">
        <w:r>
          <w:rPr>
            <w:rStyle w:val="Hyperlink"/>
          </w:rPr>
          <w:t xml:space="preserve">https://doi.org/10.1093/sf/soy030</w:t>
        </w:r>
      </w:hyperlink>
    </w:p>
    <w:bookmarkEnd w:id="193"/>
    <w:bookmarkStart w:id="195"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4">
        <w:r>
          <w:rPr>
            <w:rStyle w:val="Hyperlink"/>
          </w:rPr>
          <w:t xml:space="preserve">https://doi.org/10.1111/lasr.12239</w:t>
        </w:r>
      </w:hyperlink>
    </w:p>
    <w:bookmarkEnd w:id="195"/>
    <w:bookmarkStart w:id="196"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6"/>
    <w:bookmarkStart w:id="197"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197"/>
    <w:bookmarkEnd w:id="198"/>
    <w:p>
      <w:r>
        <w:br w:type="page"/>
      </w:r>
    </w:p>
    <w:bookmarkEnd w:id="199"/>
    <w:bookmarkStart w:id="200" w:name="tables"/>
    <w:p>
      <w:pPr>
        <w:pStyle w:val="Heading1"/>
      </w:pPr>
      <w:r>
        <w:rPr>
          <w:rStyle w:val="SectionNumber"/>
        </w:rPr>
        <w:t xml:space="preserve">8</w:t>
      </w:r>
      <w:r>
        <w:tab/>
      </w:r>
      <w:r>
        <w:t xml:space="preserve">Tables</w:t>
      </w:r>
    </w:p>
    <w:p>
      <w:pPr>
        <w:pStyle w:val="TableCaption"/>
      </w:pPr>
      <w:r>
        <w:t xml:space="preserve">Table 8.1:</w:t>
      </w:r>
      <w:r>
        <w:t xml:space="preserve"> </w:t>
      </w:r>
      <w:bookmarkStart w:id="c2bd53b6-d72f-47c8-9fb3-59a5162a4c61" w:name="tab:country-tab"/>
      <w:r>
        <w:t xml:space="preserve">Sending countries ranked by proportion immigrant couples with same-sex partners</w:t>
      </w:r>
      <w:bookmarkEnd w:id="c2bd53b6-d72f-47c8-9fb3-59a5162a4c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8.2:</w:t>
      </w:r>
      <w:r>
        <w:t xml:space="preserve"> </w:t>
      </w:r>
      <w:bookmarkStart w:id="44cbfc40-949a-4d47-ace4-ee56c51a675f" w:name="tab:state-tab"/>
      <w:r>
        <w:t xml:space="preserve">States ranked by proportion immigrant couples with same-sex partners</w:t>
      </w:r>
      <w:bookmarkEnd w:id="44cbfc40-949a-4d47-ace4-ee56c51a6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8.3:</w:t>
      </w:r>
      <w:r>
        <w:t xml:space="preserve"> </w:t>
      </w:r>
      <w:bookmarkStart w:id="f297ddc9-8edf-45f8-bd61-94b671ba84af" w:name="tab:state-props"/>
      <w:r>
        <w:t xml:space="preserve">Percent same-sex in by country of origin, U.S. state, and survey year.</w:t>
      </w:r>
      <w:bookmarkEnd w:id="f297ddc9-8edf-45f8-bd61-94b671ba84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200"/>
    <w:bookmarkStart w:id="208" w:name="figures"/>
    <w:p>
      <w:pPr>
        <w:pStyle w:val="Heading1"/>
      </w:pPr>
      <w:r>
        <w:rPr>
          <w:rStyle w:val="SectionNumber"/>
        </w:rPr>
        <w:t xml:space="preserve">9</w:t>
      </w:r>
      <w:r>
        <w:tab/>
      </w:r>
      <w:r>
        <w:t xml:space="preserve">Figures</w:t>
      </w:r>
    </w:p>
    <w:p>
      <w:pPr>
        <w:pStyle w:val="CaptionedFigure"/>
      </w:pPr>
      <w:r>
        <w:drawing>
          <wp:inline>
            <wp:extent cx="5943600" cy="4754880"/>
            <wp:effectExtent b="0" l="0" r="0" t="0"/>
            <wp:docPr descr="Figure 9.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esc_files/figure-docx/total-pop-1.png" id="0" name="Picture"/>
                    <pic:cNvPicPr>
                      <a:picLocks noChangeArrowheads="1" noChangeAspect="1"/>
                    </pic:cNvPicPr>
                  </pic:nvPicPr>
                  <pic:blipFill>
                    <a:blip r:embed="rId20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BodyText"/>
      </w:pPr>
      <w:r>
        <w:drawing>
          <wp:inline>
            <wp:extent cx="5943600" cy="8321040"/>
            <wp:effectExtent b="0" l="0" r="0" t="0"/>
            <wp:docPr descr="Figure 9.2: Origin country-level descriptive statistics for immigrants in couples 2008-2019, for year of migration, with survey weights and 95% confidence intervals. Currency in thousands of 1999 dollars." title="" id="1" name="Picture"/>
            <a:graphic>
              <a:graphicData uri="http://schemas.openxmlformats.org/drawingml/2006/picture">
                <pic:pic>
                  <pic:nvPicPr>
                    <pic:cNvPr descr="ssimm_desc_files/figure-docx/desc-country-1.png" id="0" name="Picture"/>
                    <pic:cNvPicPr>
                      <a:picLocks noChangeArrowheads="1" noChangeAspect="1"/>
                    </pic:cNvPicPr>
                  </pic:nvPicPr>
                  <pic:blipFill>
                    <a:blip r:embed="rId202"/>
                    <a:stretch>
                      <a:fillRect/>
                    </a:stretch>
                  </pic:blipFill>
                  <pic:spPr bwMode="auto">
                    <a:xfrm>
                      <a:off x="0" y="0"/>
                      <a:ext cx="5943600" cy="8321040"/>
                    </a:xfrm>
                    <a:prstGeom prst="rect">
                      <a:avLst/>
                    </a:prstGeom>
                    <a:noFill/>
                    <a:ln w="9525">
                      <a:noFill/>
                      <a:headEnd/>
                      <a:tailEnd/>
                    </a:ln>
                  </pic:spPr>
                </pic:pic>
              </a:graphicData>
            </a:graphic>
          </wp:inline>
        </w:drawing>
      </w:r>
      <w:r>
        <w:t xml:space="preserve"> </w:t>
      </w:r>
    </w:p>
    <w:p>
      <w:pPr>
        <w:pStyle w:val="CaptionedFigure"/>
      </w:pPr>
      <w:r>
        <w:drawing>
          <wp:inline>
            <wp:extent cx="5943600" cy="4754880"/>
            <wp:effectExtent b="0" l="0" r="0" t="0"/>
            <wp:docPr descr="Figure 9.3: Individual descriptive statistics for immigrants in couples 2008-2019, with survey weights and 95% confidence intervals. Currency in thousands of 1999 dollars." title="" id="1" name="Picture"/>
            <a:graphic>
              <a:graphicData uri="http://schemas.openxmlformats.org/drawingml/2006/picture">
                <pic:pic>
                  <pic:nvPicPr>
                    <pic:cNvPr descr="ssimm_desc_files/figure-docx/desc-ind-1.png" id="0"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9.4: Mean country-of-origin and U.S. state policy index score for immigrants in same- and different-sex couples, 2008-2019, with 95% confidence intervals." title="" id="1" name="Picture"/>
            <a:graphic>
              <a:graphicData uri="http://schemas.openxmlformats.org/drawingml/2006/picture">
                <pic:pic>
                  <pic:nvPicPr>
                    <pic:cNvPr descr="ssimm_desc_files/figure-docx/policy-desc-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9.5: Percentage of immigrants to the U.S. in same-sex couples by country of origin, averaging over years of immigration from 1991 to 2019." title="" id="1" name="Picture"/>
            <a:graphic>
              <a:graphicData uri="http://schemas.openxmlformats.org/drawingml/2006/picture">
                <pic:pic>
                  <pic:nvPicPr>
                    <pic:cNvPr descr="ssimm_desc_files/figure-docx/country-map-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9.5: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9.6: Percentage of immigrants in same-sex couples in U.S. states, averaging over ACS survey years 2008 to 2019." title="" id="1" name="Picture"/>
            <a:graphic>
              <a:graphicData uri="http://schemas.openxmlformats.org/drawingml/2006/picture">
                <pic:pic>
                  <pic:nvPicPr>
                    <pic:cNvPr descr="ssimm_desc_files/figure-docx/state-map-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9.6: Percentage of immigrants in same-sex couples in U.S. states, averaging over ACS survey years 2008 to 2019.</w:t>
      </w:r>
    </w:p>
    <w:p>
      <w:r>
        <w:br w:type="page"/>
      </w:r>
    </w:p>
    <w:p>
      <w:pPr>
        <w:pStyle w:val="CaptionedFigure"/>
      </w:pPr>
      <w:r>
        <w:drawing>
          <wp:inline>
            <wp:extent cx="5943600" cy="4754880"/>
            <wp:effectExtent b="0" l="0" r="0" t="0"/>
            <wp:docPr descr="Figure 9.7: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esc_files/figure-docx/sens-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9.7: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w:t>
      </w:r>
    </w:p>
    <w:bookmarkEnd w:id="208"/>
    <w:sectPr w:rsidR="00C83BC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9.1</w:t>
      </w:r>
      <w:r>
        <w:t xml:space="preserve">, where we include those who immigrated in any year, at age 18 or older.</w:t>
      </w:r>
    </w:p>
  </w:footnote>
  <w:footnote w:id="35">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Online Appendix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5" Target="media/rId205.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1" Target="media/rId201.png" /><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2022-05-27T18:34:21Z</dcterms:created>
  <dcterms:modified xsi:type="dcterms:W3CDTF">2022-05-27T18:34:21Z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May 27,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